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D" w:rsidRPr="00E73622" w:rsidRDefault="00D26E64" w:rsidP="00D26E64">
      <w:pPr>
        <w:rPr>
          <w:rFonts w:ascii="FranklinGothicLTCom-MdIt" w:hAnsi="FranklinGothicLTCom-MdIt" w:cs="FranklinGothicLTCom-MdIt"/>
          <w:i/>
          <w:iCs/>
          <w:sz w:val="16"/>
          <w:szCs w:val="16"/>
        </w:rPr>
      </w:pP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Shido LITHIUM PŘÍBALOVÁ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INFORMACE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VAROVÁNÍ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Nikdy se nepokoušejte akumulátor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otevírat nebo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demontovat! Pokud dojde k náhodnému kontaktu s vnitřním obsahem baterie, omyjte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zasaženou část pokožky a obraťte se na lékaře 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pr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o další lékařskou pomoc.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P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RVNÍ UVEDENÍ DO PROVOZU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VŽDY nab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ij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t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novou baterii před jejím 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prvním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použitím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! (Viz část Nabíjení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)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MONTÁŽ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Zk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ontrol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ujte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stav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nabití baterie před instalací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stisknutím a podržením tlačítka TEST na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hoře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(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kapacita baterie -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BATTERY CAPACITY)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Ukazatel se nachází mezi svorkami na vrchu bateri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e.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Jest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li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že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k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apacita baterie Indikuje LOW (</w:t>
      </w:r>
      <w:r w:rsidR="00542BCD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svítí</w:t>
      </w:r>
      <w:r w:rsidR="00542BCD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1 modrá LED) nebo MED (</w:t>
      </w:r>
      <w:r w:rsidR="00542BCD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svítí</w:t>
      </w:r>
      <w:r w:rsidR="00542BCD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2 modré LED diody) při stisknutém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tlačítku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TEST, nab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ij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t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baterii před montáží (viz sekce</w:t>
      </w:r>
      <w:r w:rsidR="00542BCD" w:rsidRPr="00542BCD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N</w:t>
      </w:r>
      <w:r w:rsidR="00542BCD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abíje</w:t>
      </w:r>
      <w:r w:rsidR="00542BCD">
        <w:rPr>
          <w:rFonts w:ascii="FranklinGothicLTCom-MdIt" w:hAnsi="FranklinGothicLTCom-MdIt" w:cs="FranklinGothicLTCom-MdIt"/>
          <w:i/>
          <w:iCs/>
          <w:sz w:val="16"/>
          <w:szCs w:val="16"/>
        </w:rPr>
        <w:t>n</w:t>
      </w:r>
      <w:r w:rsidR="00542BCD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).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Vždy dodržujte návod k obsluze vozidla při montáži baterii.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Nikdy nepoužívejte tuto baterii ve vozidle, kde alternátor produkuje napětí vyšší než 15,0 Volt.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Připojte kladný vodič ke svorce označené </w:t>
      </w:r>
      <w:r w:rsidR="008E5D33">
        <w:rPr>
          <w:rFonts w:ascii="FranklinGothicLTCom-MdIt" w:hAnsi="FranklinGothicLTCom-MdIt" w:cs="FranklinGothicLTCom-MdIt"/>
          <w:i/>
          <w:iCs/>
          <w:sz w:val="16"/>
          <w:szCs w:val="16"/>
        </w:rPr>
        <w:t>plu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s, a záporný ke svorce označené symbolem</w:t>
      </w:r>
      <w:r w:rsidR="008E5D33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mínus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Použijte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v případě potřeby</w:t>
      </w:r>
      <w:r w:rsidR="0001282E" w:rsidRPr="0001282E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distanční pod</w:t>
      </w:r>
      <w:r w:rsidR="0001282E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ložky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, aby bylo dosaženo co nejlepší 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montáže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QUAD TERMINAL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– násobné připojení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Je-li vaše baterie vybavena QUAD terminál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em, </w:t>
      </w:r>
      <w:r w:rsidR="0001282E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je třeba 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učinit následné dodatečné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kroky 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při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montáž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baterie.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proofErr w:type="spellStart"/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Q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uad</w:t>
      </w:r>
      <w:proofErr w:type="spellEnd"/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terminál může být 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indikován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samostatn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ý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m písmenem Q v názvu výrobku na přední straně baterie, nebo </w:t>
      </w:r>
      <w:r w:rsidR="0001282E">
        <w:rPr>
          <w:rFonts w:ascii="FranklinGothicLTCom-MdIt" w:hAnsi="FranklinGothicLTCom-MdIt" w:cs="FranklinGothicLTCom-MdIt"/>
          <w:i/>
          <w:iCs/>
          <w:sz w:val="16"/>
          <w:szCs w:val="16"/>
        </w:rPr>
        <w:t>4 samostatnými svorkami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na baterii (dvě a dvě).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Pro montáž baterie QUAD terminál, vložte baterii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na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určené míst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o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ve vozidle a zkontrolujte, zda dva nejbližší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kontakty odpovídají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polarit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ě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kladných a záporných elektrod. Pokud tomu tak není, otočte baterii o 180 °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,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proofErr w:type="gramStart"/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aby</w:t>
      </w:r>
      <w:proofErr w:type="gramEnd"/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jste </w:t>
      </w:r>
      <w:proofErr w:type="gramStart"/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mohli</w:t>
      </w:r>
      <w:proofErr w:type="gramEnd"/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použít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kontakty na druhé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stran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ě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baterie.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Jsou-li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dva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odnímatelné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kontakty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na boční straně baterie, která není v provozu,</w:t>
      </w:r>
      <w:r w:rsidR="003216C5" w:rsidRP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vyšroubujte je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pomocí šroub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ů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, které 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je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drží na svém místě, a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našroubujte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je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do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koncových poloh, které jsou používány. Ujistěte se, že jsou s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vorky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t>bezpečně upevněny.</w:t>
      </w:r>
      <w:r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NABÍJEN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Vždy 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použ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i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j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te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pro nabíjení baterie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inteligentní nabíječku specifickou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pro lithiové baterie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Aby nedošlo k poškození baterie, nabíjecí napětí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nesmí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být nikdy vyšší než 15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,0 Volt.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Nedobíjejte baterii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nabíječkou s automatick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ý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m režim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em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proofErr w:type="spellStart"/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desulface</w:t>
      </w:r>
      <w:proofErr w:type="spellEnd"/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s napětí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m</w:t>
      </w:r>
      <w:r w:rsidR="003216C5" w:rsidRPr="003216C5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vyšší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m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než 15,0 Volt.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Odpojte od a v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yjměte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vždy</w:t>
      </w:r>
      <w:r w:rsidR="003216C5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akumulátor </w:t>
      </w:r>
      <w:r w:rsidR="003216C5">
        <w:rPr>
          <w:rFonts w:ascii="FranklinGothicLTCom-MdIt" w:hAnsi="FranklinGothicLTCom-MdIt" w:cs="FranklinGothicLTCom-MdIt"/>
          <w:i/>
          <w:iCs/>
          <w:sz w:val="16"/>
          <w:szCs w:val="16"/>
        </w:rPr>
        <w:t>z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vozidla před připojením k nabíječce.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Je vhodnější nabít baterii standardním nabíjecí proud, který naleznete tabulce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v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 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manuálu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 baterii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Nabíjecí proud by nikdy neměl překročit maximální nabíjecí proud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,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který naleznete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v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tabulce 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v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 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manuálu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 baterii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Pokud je baterie horká při dotyku, zastavte nabíjení. Nechte b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aterii vychladnout před pokračováním v nabíjení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Po nabití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nechte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v klidu po dobu 1 hodiny před stisknutím tlačítka TEST na 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indikátor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u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kapacit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baterie.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Pokud 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ndikátor indikuje nízký (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svítí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1 modrá LED) nebo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střední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(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svítí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2 modré LED diody)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stav nabití,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baterie potřebuje další nabíjení.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SKLADOVÁNÍ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Skladujte v čistém, suchém a větraném prostředí.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Zabraňte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kontaktu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s jakoukoli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látku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způsobující oxidaci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Udržujte mimo dosah tepla a ohně.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PŘEPRAVA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Nenechte </w:t>
      </w:r>
      <w:r w:rsidR="001A741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baterii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spadnout nebo jinak mechanicky poškodit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a nevystavujte nadměrným nárazům.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Nepřevážejte baterie spolu s hořlavý</w:t>
      </w:r>
      <w:r w:rsidR="00481079">
        <w:rPr>
          <w:rFonts w:ascii="FranklinGothicLTCom-MdIt" w:hAnsi="FranklinGothicLTCom-MdIt" w:cs="FranklinGothicLTCom-MdIt"/>
          <w:i/>
          <w:iCs/>
          <w:sz w:val="16"/>
          <w:szCs w:val="16"/>
        </w:rPr>
        <w:t>mi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, výbušný</w:t>
      </w:r>
      <w:r w:rsidR="00481079">
        <w:rPr>
          <w:rFonts w:ascii="FranklinGothicLTCom-MdIt" w:hAnsi="FranklinGothicLTCom-MdIt" w:cs="FranklinGothicLTCom-MdIt"/>
          <w:i/>
          <w:iCs/>
          <w:sz w:val="16"/>
          <w:szCs w:val="16"/>
        </w:rPr>
        <w:t>mi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nebo ostr</w:t>
      </w:r>
      <w:r w:rsidR="00481079">
        <w:rPr>
          <w:rFonts w:ascii="FranklinGothicLTCom-MdIt" w:hAnsi="FranklinGothicLTCom-MdIt" w:cs="FranklinGothicLTCom-MdIt"/>
          <w:i/>
          <w:iCs/>
          <w:sz w:val="16"/>
          <w:szCs w:val="16"/>
        </w:rPr>
        <w:t>ými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předměty.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ÚDRŽBA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Nikdy se nepokoušejte baterii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otevřít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Vždy mějte spojovací 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kontakty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čisté a bezpečn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ě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upevněn</w:t>
      </w:r>
      <w:r w:rsidR="001A7412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Každých 180 dní, zkontrolujte stav nabití akumulátoru stisknutím tlačítka TEST na </w:t>
      </w:r>
      <w:r w:rsidR="00381DE1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indikátor</w:t>
      </w:r>
      <w:r w:rsidR="00381DE1">
        <w:rPr>
          <w:rFonts w:ascii="FranklinGothicLTCom-MdIt" w:hAnsi="FranklinGothicLTCom-MdIt" w:cs="FranklinGothicLTCom-MdIt"/>
          <w:i/>
          <w:iCs/>
          <w:sz w:val="16"/>
          <w:szCs w:val="16"/>
        </w:rPr>
        <w:t>u</w:t>
      </w:r>
      <w:r w:rsidR="00381DE1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381DE1">
        <w:rPr>
          <w:rFonts w:ascii="FranklinGothicLTCom-MdIt" w:hAnsi="FranklinGothicLTCom-MdIt" w:cs="FranklinGothicLTCom-MdIt"/>
          <w:i/>
          <w:iCs/>
          <w:sz w:val="16"/>
          <w:szCs w:val="16"/>
        </w:rPr>
        <w:t>kapacity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baterie.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Pokud indikátor ukazuje nízké nabití (</w:t>
      </w:r>
      <w:r w:rsidR="00381DE1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svítí</w:t>
      </w:r>
      <w:r w:rsidR="00381DE1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pouze 1 modrá LED), provést obnovovací poplatek (viz sekce</w:t>
      </w:r>
      <w:r w:rsidR="00381DE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Nabíjen</w:t>
      </w:r>
      <w:r w:rsidR="00381DE1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).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OSTATNÍ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</w:t>
      </w:r>
      <w:r w:rsidR="00381DE1">
        <w:rPr>
          <w:rFonts w:ascii="FranklinGothicLTCom-MdIt" w:hAnsi="FranklinGothicLTCom-MdIt" w:cs="FranklinGothicLTCom-MdIt"/>
          <w:i/>
          <w:iCs/>
          <w:sz w:val="16"/>
          <w:szCs w:val="16"/>
        </w:rPr>
        <w:t>eponořujte baterii do vody a chraňte ji před vlhkostí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Nepřipojujte baterii přímo do elektrické zásuvky.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Nezkratujte ba</w:t>
      </w:r>
      <w:r w:rsidR="00381DE1">
        <w:rPr>
          <w:rFonts w:ascii="FranklinGothicLTCom-MdIt" w:hAnsi="FranklinGothicLTCom-MdIt" w:cs="FranklinGothicLTCom-MdIt"/>
          <w:i/>
          <w:iCs/>
          <w:sz w:val="16"/>
          <w:szCs w:val="16"/>
        </w:rPr>
        <w:t>terii připojením drátů nebo jiných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kovov</w:t>
      </w:r>
      <w:r w:rsidR="00381DE1">
        <w:rPr>
          <w:rFonts w:ascii="FranklinGothicLTCom-MdIt" w:hAnsi="FranklinGothicLTCom-MdIt" w:cs="FranklinGothicLTCom-MdIt"/>
          <w:i/>
          <w:iCs/>
          <w:sz w:val="16"/>
          <w:szCs w:val="16"/>
        </w:rPr>
        <w:t>ých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předmět</w:t>
      </w:r>
      <w:r w:rsidR="00381DE1">
        <w:rPr>
          <w:rFonts w:ascii="FranklinGothicLTCom-MdIt" w:hAnsi="FranklinGothicLTCom-MdIt" w:cs="FranklinGothicLTCom-MdIt"/>
          <w:i/>
          <w:iCs/>
          <w:sz w:val="16"/>
          <w:szCs w:val="16"/>
        </w:rPr>
        <w:t>ů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na kladný a záporný pól.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Neprorážejte kryt baterie hřebíkem nebo jinými ostrými předměty, nepokoušejte 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se ji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rozbít 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nebo jinak otevírat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, nebo na n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i stoupat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Nepoužívejte přím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nale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tov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ání vodiče na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kontakt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baterie.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Nepoužívejte baterie v kombinaci s primárními bateriemi (například suché 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bateri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ové 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články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) nebo baterie různých kapacit,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typ</w:t>
      </w:r>
      <w:r w:rsidR="00137AE7">
        <w:rPr>
          <w:rFonts w:ascii="FranklinGothicLTCom-MdIt" w:hAnsi="FranklinGothicLTCom-MdIt" w:cs="FranklinGothicLTCom-MdIt"/>
          <w:i/>
          <w:iCs/>
          <w:sz w:val="16"/>
          <w:szCs w:val="16"/>
        </w:rPr>
        <w:t>ů nebo značek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Nepoužívejte baterii</w:t>
      </w:r>
      <w:r w:rsidR="00FD5D91" w:rsidRPr="00FD5D9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FD5D91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v žádném případě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, pokud se 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z ní šíří podezřelý zápach, teplo,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mění 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se její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barv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>a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nebo tvar, nebo se jeví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jinak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abnormální. Je-li baterie v provozu nebo j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>i dobíjí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t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>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, vyjměte ji </w:t>
      </w:r>
      <w:r w:rsidR="00FD5D91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okamžitě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ze zařízení nebo 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odpojte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nabíječku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a nepoužívejte ji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Optimální teplotní rozmezí pro 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použití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baterie je -10°C až 60°C.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Shido </w:t>
      </w:r>
      <w:r w:rsidR="00F57551">
        <w:rPr>
          <w:rFonts w:ascii="FranklinGothicLTCom-MdIt" w:hAnsi="FranklinGothicLTCom-MdIt" w:cs="FranklinGothicLTCom-MdIt"/>
          <w:i/>
          <w:iCs/>
          <w:sz w:val="16"/>
          <w:szCs w:val="16"/>
        </w:rPr>
        <w:t>nenese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žádnou zodpovědnost za problémy, které nastanou, když výše uvedené pokyny </w:t>
      </w:r>
      <w:r w:rsidR="00F57551">
        <w:rPr>
          <w:rFonts w:ascii="FranklinGothicLTCom-MdIt" w:hAnsi="FranklinGothicLTCom-MdIt" w:cs="FranklinGothicLTCom-MdIt"/>
          <w:i/>
          <w:iCs/>
          <w:sz w:val="16"/>
          <w:szCs w:val="16"/>
        </w:rPr>
        <w:t>nejsou dodržovány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VÝHODY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Až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o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65% lehčí než olověné akumulátory.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Super startovací výkon - startov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ac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í proud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o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30% až 50% vyšší než ekvivalentní olověn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akumulátor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Vynikající životnost - více než 3 krát delší ve srovn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>ání s olověných akumulátorů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(dle </w:t>
      </w:r>
      <w:r w:rsidR="00E7362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standard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u</w:t>
      </w:r>
      <w:r w:rsidR="00E7362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JISD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)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="00FD5D91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D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elší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životnost při skladování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díky nízkému samovybíjení - více než jeden rok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(olověné baterie: 6 měsíců).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Š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etrné k životnímu prostředí - Neobsahuje žádné škodliviny, žíravé kyseliny nebo toxick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těžk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kov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Žádné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rozlití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-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žádná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kyselina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u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vnitř, žádné problémy úniků.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Náhrada 1: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1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za podobné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olověné baterie.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M</w:t>
      </w:r>
      <w:r w:rsidR="00E7362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ožn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ost</w:t>
      </w:r>
      <w:r w:rsidR="00E73622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r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ychlé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ho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dobíjení s velkými proudy.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lastRenderedPageBreak/>
        <w:t>• Stabilní napětí a nižší vnitřní odpor.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Bezpečn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- nevýbušné a nehořlavé.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NÁVOD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PRO MOTOCYKLOVÉ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START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OVACÍ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BATERIE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Tento návod k obsluze se vztahuje k Shido Lithium-iontové baterie.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Baterie jsou šetrné k životnímu prostředí a neobsahují žádné škodliviny, žíravé kyseliny nebo toxick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těžk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é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kov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Výrobní 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>závod je držitelem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ISO9001, ISO 14001, TS 169</w:t>
      </w:r>
      <w:r w:rsidR="00E73622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49, CE, UL certifikace a obdržel shodu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s normou.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Pokud jsou baterie používány v prostředí, které není uvedená v tomto dokumentu, obraťte se na nás 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>pro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autorizaci.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>N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enese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>me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žádnou odpovědnost ani 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nebudeme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kompenzovat žádnou ztrátu v důsledku nesprávného používání baterie.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>POUŽITÍ V NÁSLEDUJÍCÍCH SPORTOVNÍCH ZAŘÍZENÍCH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Skútry, motocykly, čtyřkolky, 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>něžné skútry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 a sekačky na trávu</w:t>
      </w:r>
      <w:r w:rsidR="00481079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CERTIFIKÁ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TY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 xml:space="preserve">• ISO-9001 / ISO-14001 / 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>TS-16949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VÍCE INFORMACÍ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• V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íce informací o </w:t>
      </w:r>
      <w:r w:rsidR="00481079"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lithiových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bateriích Shido naleznete </w:t>
      </w:r>
      <w:r w:rsidR="00F45320">
        <w:rPr>
          <w:rFonts w:ascii="FranklinGothicLTCom-MdIt" w:hAnsi="FranklinGothicLTCom-MdIt" w:cs="FranklinGothicLTCom-MdIt"/>
          <w:i/>
          <w:iCs/>
          <w:sz w:val="16"/>
          <w:szCs w:val="16"/>
        </w:rPr>
        <w:t xml:space="preserve">na 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t>www.shido-batteries.com</w:t>
      </w:r>
      <w:r w:rsidRPr="00D26E64">
        <w:rPr>
          <w:rFonts w:ascii="FranklinGothicLTCom-MdIt" w:hAnsi="FranklinGothicLTCom-MdIt" w:cs="FranklinGothicLTCom-MdIt"/>
          <w:i/>
          <w:iCs/>
          <w:sz w:val="16"/>
          <w:szCs w:val="16"/>
        </w:rPr>
        <w:br/>
        <w:t>Shido Baterie jsou distribuovány výhradně DC AFAM NV, Belgie.</w:t>
      </w:r>
      <w:bookmarkStart w:id="0" w:name="_GoBack"/>
      <w:bookmarkEnd w:id="0"/>
    </w:p>
    <w:sectPr w:rsidR="005B620D" w:rsidRPr="00E7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GothicLTCom-M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4"/>
    <w:rsid w:val="0001282E"/>
    <w:rsid w:val="00137AE7"/>
    <w:rsid w:val="001A7412"/>
    <w:rsid w:val="003216C5"/>
    <w:rsid w:val="00381DE1"/>
    <w:rsid w:val="00481079"/>
    <w:rsid w:val="00542BCD"/>
    <w:rsid w:val="005B620D"/>
    <w:rsid w:val="008E5D33"/>
    <w:rsid w:val="00D26E64"/>
    <w:rsid w:val="00E73622"/>
    <w:rsid w:val="00F45320"/>
    <w:rsid w:val="00F57551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5126"/>
  <w15:chartTrackingRefBased/>
  <w15:docId w15:val="{7A5D07E4-5739-4FCC-A37B-1624CD8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Říha</dc:creator>
  <cp:keywords/>
  <dc:description/>
  <cp:lastModifiedBy>Radek Říha</cp:lastModifiedBy>
  <cp:revision>8</cp:revision>
  <dcterms:created xsi:type="dcterms:W3CDTF">2016-02-22T13:04:00Z</dcterms:created>
  <dcterms:modified xsi:type="dcterms:W3CDTF">2016-02-22T16:07:00Z</dcterms:modified>
</cp:coreProperties>
</file>